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Пример оформления материалов,</w:t>
        <w:br w:type="textWrapping"/>
        <w:t xml:space="preserve">представляемых на конференцию ММиСТ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 xml:space="preserve">А.Б. Первый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 В.Г. Второй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 Д.Е. Третий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ОрганизацияA,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ОрганизацияB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pageBreakBefore w:val="0"/>
        <w:spacing w:after="320" w:lineRule="auto"/>
        <w:ind w:left="851" w:right="848" w:firstLine="0"/>
        <w:jc w:val="both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Аннотация содержит краткое описание статьи и не должна превышать 10 строк. Она оформляется шрифтом Times New Roman размером 10 пт с дополнительным отступом 15 мм слева и справа, выравниванием по ширине. Сверху и снизу аннотация отделяется от остального текста интервалом в 1 строку размером 16 пт. Настоящий текст оформлен в соответствии со всеми требованиями и может быть использован в качестве шаблона. </w:t>
      </w:r>
    </w:p>
    <w:p w:rsidR="00000000" w:rsidDel="00000000" w:rsidP="00000000" w:rsidRDefault="00000000" w:rsidRPr="00000000" w14:paraId="00000005">
      <w:pPr>
        <w:pStyle w:val="Title"/>
        <w:pageBreakBefore w:val="0"/>
        <w:spacing w:after="320" w:lineRule="auto"/>
        <w:ind w:left="851" w:right="848" w:firstLine="0"/>
        <w:jc w:val="both"/>
        <w:rPr>
          <w:b w:val="0"/>
          <w:sz w:val="20"/>
          <w:szCs w:val="20"/>
        </w:rPr>
      </w:pPr>
      <w:r w:rsidDel="00000000" w:rsidR="00000000" w:rsidRPr="00000000">
        <w:rPr>
          <w:b w:val="0"/>
          <w:i w:val="1"/>
          <w:sz w:val="20"/>
          <w:szCs w:val="20"/>
          <w:rtl w:val="0"/>
        </w:rPr>
        <w:t xml:space="preserve">Ключевые слова:</w:t>
      </w:r>
      <w:r w:rsidDel="00000000" w:rsidR="00000000" w:rsidRPr="00000000">
        <w:rPr>
          <w:b w:val="0"/>
          <w:sz w:val="20"/>
          <w:szCs w:val="20"/>
          <w:rtl w:val="0"/>
        </w:rPr>
        <w:t xml:space="preserve"> необходимо указать от 3 до 10 ключевых слов и (или) фраз через запятую.</w:t>
      </w:r>
    </w:p>
    <w:p w:rsidR="00000000" w:rsidDel="00000000" w:rsidP="00000000" w:rsidRDefault="00000000" w:rsidRPr="00000000" w14:paraId="00000006">
      <w:pPr>
        <w:pStyle w:val="Heading1"/>
        <w:pageBreakBefore w:val="0"/>
        <w:rPr/>
      </w:pPr>
      <w:r w:rsidDel="00000000" w:rsidR="00000000" w:rsidRPr="00000000">
        <w:rPr>
          <w:rtl w:val="0"/>
        </w:rPr>
        <w:t xml:space="preserve">1. Введение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Данный документ представляет собой пример оформления материалов, представляемых на конференцию ММиСТ. Документ можно использовать в качестве шаблона.</w:t>
      </w:r>
    </w:p>
    <w:p w:rsidR="00000000" w:rsidDel="00000000" w:rsidP="00000000" w:rsidRDefault="00000000" w:rsidRPr="00000000" w14:paraId="00000008">
      <w:pPr>
        <w:pStyle w:val="Heading1"/>
        <w:pageBreakBefore w:val="0"/>
        <w:rPr/>
      </w:pPr>
      <w:r w:rsidDel="00000000" w:rsidR="00000000" w:rsidRPr="00000000">
        <w:rPr>
          <w:rtl w:val="0"/>
        </w:rPr>
        <w:t xml:space="preserve">2. Подготовка статьи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Страница статьи, представляемой на конференцию, должна иметь размеры 297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210 мм (формат А4). Все поля страницы должны иметь одинаковый размер — 25 мм.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допускается использование нумерации, принудительных разрывов страниц и колонтитулов.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тексте статьи используется шрифт Times New Roman. Абзац оформляется шрифтом размером 11 пт с выравниванием по ширине страницы, одинарным интервалом между строками и автоматической расстановкой переносов. Нежелательно использование полужирного стиля в тексте. Абзацы не разделяются интервалами и начинаются с красной строки с отступом 7 мм.</w:t>
      </w:r>
    </w:p>
    <w:p w:rsidR="00000000" w:rsidDel="00000000" w:rsidP="00000000" w:rsidRDefault="00000000" w:rsidRPr="00000000" w14:paraId="0000000C">
      <w:pPr>
        <w:pStyle w:val="Heading2"/>
        <w:pageBreakBefore w:val="0"/>
        <w:rPr/>
      </w:pPr>
      <w:r w:rsidDel="00000000" w:rsidR="00000000" w:rsidRPr="00000000">
        <w:rPr>
          <w:rtl w:val="0"/>
        </w:rPr>
        <w:t xml:space="preserve">2.1. Заголовки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Название статьи оформляется шрифтом размером 16 пт с выравниванием по центру страницы. Сверху от остального текста название отделяется одной пустой строкой.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Список авторов статьи оформляется шрифтом размером 12 пт с выравниванием по центру и отделяется от названия одной пустой строкой размером 16 пт. Авторы перечисляются через запятую, фамилия ставится справа от инициалов.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Организация оформляется шрифтом размером 12 пт с выравниванием по центру и отделяется от списка авторов одной пустой строкой размером 6 пт. В качестве организации необходимо указать полное наименование организации, в которой работают авторы. В случае если авторы – из разных организаций, здесь указывается через запятую две или более организаций. При этом принадлежность автора к соответствующей организации обозначается при помощи сносок.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Заголовок раздела оформляется без отрыва от первого абзаца с выравниванием по левому краю. Сверху и снизу заголовок отделяется одной пустой строкой. Примеры заголовков и их стили представлены в таблице 1.</w:t>
      </w:r>
    </w:p>
    <w:p w:rsidR="00000000" w:rsidDel="00000000" w:rsidP="00000000" w:rsidRDefault="00000000" w:rsidRPr="00000000" w14:paraId="00000011">
      <w:pPr>
        <w:pStyle w:val="Heading2"/>
        <w:pageBreakBefore w:val="0"/>
        <w:rPr/>
      </w:pPr>
      <w:r w:rsidDel="00000000" w:rsidR="00000000" w:rsidRPr="00000000">
        <w:rPr>
          <w:rtl w:val="0"/>
        </w:rPr>
        <w:t xml:space="preserve">2.2. Рисунки и таблицы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 рисунки и таблицы должны иметь подпись c шрифтом размером 10 пт, отступ сверху и снизу 6 пт и выравнивание по центру страницы. Подпись к таблице помещается над таблицей, подпись к рисунку — под рисунком. Не рекомендуется использование цветных рисунков.</w:t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-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Таблица 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Примеры заголовков</w:t>
      </w:r>
      <w:r w:rsidDel="00000000" w:rsidR="00000000" w:rsidRPr="00000000">
        <w:rPr>
          <w:rtl w:val="0"/>
        </w:rPr>
      </w:r>
    </w:p>
    <w:tbl>
      <w:tblPr>
        <w:tblStyle w:val="Table1"/>
        <w:tblW w:w="6193.0" w:type="dxa"/>
        <w:jc w:val="center"/>
        <w:tblLayout w:type="fixed"/>
        <w:tblLook w:val="0000"/>
      </w:tblPr>
      <w:tblGrid>
        <w:gridCol w:w="3700"/>
        <w:gridCol w:w="2493"/>
        <w:tblGridChange w:id="0">
          <w:tblGrid>
            <w:gridCol w:w="3700"/>
            <w:gridCol w:w="249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1"/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Вид заголовка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1"/>
              <w:pageBreakBefore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Размер и стиль шрифта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1"/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Название статьи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1"/>
              <w:pageBreakBefore w:val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 пт, полужирный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1"/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Заголовок первого уровня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1"/>
              <w:pageBreakBefore w:val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 пт, полужирный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1"/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Заголовок второго уровня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1"/>
              <w:pageBreakBefore w:val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 пт, полужирный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Заголовок третьего уровня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1"/>
              <w:pageBreakBefore w:val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 пт, курсив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Утверждения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леммы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теоремы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оформляются отдельным абзацем и нумеруются в соответствии с порядком их появления в тексте статьи, начиная с единицы, например,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Теорема 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pStyle w:val="Heading2"/>
        <w:pageBreakBefore w:val="0"/>
        <w:rPr/>
      </w:pPr>
      <w:r w:rsidDel="00000000" w:rsidR="00000000" w:rsidRPr="00000000">
        <w:rPr>
          <w:rtl w:val="0"/>
        </w:rPr>
        <w:t xml:space="preserve">2.3. Формулы и исходные тексты программ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Формулы набираются с использованием стандартных средств Microsoft Word.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Исходные тексты программ оформляются шрифтом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Courier New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размером 10 пт (см. пример на рис. 1). В исходных текстах программ допускается использование полужирного начертания и курсива.</w:t>
      </w:r>
      <w:r w:rsidDel="00000000" w:rsidR="00000000" w:rsidRPr="00000000">
        <w:rPr>
          <w:rtl w:val="0"/>
        </w:rPr>
      </w:r>
    </w:p>
    <w:tbl>
      <w:tblPr>
        <w:tblStyle w:val="Table2"/>
        <w:tblW w:w="6958.0" w:type="dxa"/>
        <w:jc w:val="center"/>
        <w:tblLayout w:type="fixed"/>
        <w:tblLook w:val="0000"/>
      </w:tblPr>
      <w:tblGrid>
        <w:gridCol w:w="6958"/>
        <w:tblGridChange w:id="0">
          <w:tblGrid>
            <w:gridCol w:w="69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void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selectionsort(ap::real_1d_array&amp; arr,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const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&amp; 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i;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j;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k;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double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m;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 = 1; i &lt;= n; i++)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m = arr(i-1);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k = i;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(j = i; j &lt;= n; j++)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if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m&gt;arr(j-1) )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m = arr(j-1);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k = j;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arr(k-1) = arr(i-1);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arr(i-1) = m;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035">
      <w:pPr>
        <w:keepLines w:val="1"/>
        <w:pageBreakBefore w:val="0"/>
        <w:spacing w:after="120" w:before="12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Рис. 1</w:t>
      </w:r>
      <w:r w:rsidDel="00000000" w:rsidR="00000000" w:rsidRPr="00000000">
        <w:rPr>
          <w:rtl w:val="0"/>
        </w:rPr>
        <w:t xml:space="preserve">. Алгоритм сортировки массива</w:t>
      </w:r>
    </w:p>
    <w:p w:rsidR="00000000" w:rsidDel="00000000" w:rsidP="00000000" w:rsidRDefault="00000000" w:rsidRPr="00000000" w14:paraId="00000036">
      <w:pPr>
        <w:pStyle w:val="Heading2"/>
        <w:pageBreakBefore w:val="0"/>
        <w:rPr/>
      </w:pPr>
      <w:r w:rsidDel="00000000" w:rsidR="00000000" w:rsidRPr="00000000">
        <w:rPr>
          <w:rtl w:val="0"/>
        </w:rPr>
        <w:t xml:space="preserve">2.4. Сноски и перекрестные ссылки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Сноски размещаются в нижней части страницы и нумеруются арабскими цифрами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Благодарности и ссылки на грант оформляются в виде сноски к названию статьи и обозначаются символом *.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Перекрестные ссылки на литературу заключаются в квадратные скобки и перечисляются через запятую или тире, например: [13], [1–5], [1, 3, 5, 9].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Библиографические источники оформляются в виде нумерованного арабскими цифрами списка шрифтом размером 11 пт с выравниванием по левому краю.</w:t>
      </w:r>
    </w:p>
    <w:p w:rsidR="00000000" w:rsidDel="00000000" w:rsidP="00000000" w:rsidRDefault="00000000" w:rsidRPr="00000000" w14:paraId="0000003A">
      <w:pPr>
        <w:pStyle w:val="Heading1"/>
        <w:pageBreakBefore w:val="0"/>
        <w:rPr/>
      </w:pPr>
      <w:r w:rsidDel="00000000" w:rsidR="00000000" w:rsidRPr="00000000">
        <w:rPr>
          <w:rtl w:val="0"/>
        </w:rPr>
        <w:t xml:space="preserve">Литература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120" w:before="0" w:line="240" w:lineRule="auto"/>
        <w:ind w:left="37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Ерёмин И.И. Фейеровские методы для задач выпуклой и линейной оптимизации. Челябинск: Изд-во ЮУрГУ, 2009. 200 с.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120" w:before="0" w:line="240" w:lineRule="auto"/>
        <w:ind w:left="37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Левин В.К. Отечественные суперкомпьютеры семейства МВС. URL: http://parallel.ru/mvs/levin.html (дата обращения: 27.05.2012).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120" w:before="0" w:line="240" w:lineRule="auto"/>
        <w:ind w:left="37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Акимова Е.Н., Белоусов Д.В. Распараллеливание решения линейной обратной задачи на МВС-1000 и графических процессорах. Параллельные вычислительные технологии (ПаВТ’2010): Труды международной научной конференции (Уфа, 29 марта – 2 апреля 2010 г.). Челябинск: Издательский центр ЮУрГУ, 2010. С. 18–27.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120" w:before="0" w:line="240" w:lineRule="auto"/>
        <w:ind w:left="37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Соколинский Л.Б. Организация параллельного выполнения запросов в многопроцессорной машине баз данных с иерархической архитектурой // Программирование. 2001. № 6. С. 13–29.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120" w:before="0" w:line="240" w:lineRule="auto"/>
        <w:ind w:left="37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Yao B., Li F., Kumar P. K Nearest Neighbor Queries and kNN-Joins in Large Relational Databases (Almost) for Free // Proceedings of the 26th International Conference on Data Engineering, ICDE 2010, March 1-6, 2010, Long Beach, California, USA. IEEE, 2010. P. 4-15. DOI: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2"/>
            <w:szCs w:val="22"/>
            <w:highlight w:val="white"/>
            <w:u w:val="none"/>
            <w:vertAlign w:val="baseline"/>
            <w:rtl w:val="0"/>
          </w:rPr>
          <w:t xml:space="preserve">10.1109/icde.2010.5447837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120" w:before="0" w:line="240" w:lineRule="auto"/>
        <w:ind w:left="37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oosta S.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Parallel Processing and Parallel Algorithms: Theory and Computation. Springer, 2000. 566 p. DOI: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10.1007/978-1-4612-1220-1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120" w:before="0" w:line="240" w:lineRule="auto"/>
        <w:ind w:left="37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Cadez I., Heckerman D., Meek C., et al. Visualization of Navigation Patterns on a Web Site Using Model Based Clustering. Technical Report MSR-TR-00-18. Microsoft Research. 2000. URL: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http://research.microsoft.com/pubs/69752/tr-2000-18.pdf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(дата обращения: 13.12.2009). DOI: 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10.1145/347090.347151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120" w:before="0" w:line="240" w:lineRule="auto"/>
        <w:ind w:left="37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Levshin D.V., Markov A.S. Algorithms for Integrating PostgreSQL with the Semantic Web // Programming and Computer Software. 2009. Vol. 35, No. 3. P. 136–144. DOI: 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2"/>
            <w:szCs w:val="22"/>
            <w:highlight w:val="white"/>
            <w:u w:val="none"/>
            <w:vertAlign w:val="baseline"/>
            <w:rtl w:val="0"/>
          </w:rPr>
          <w:t xml:space="preserve">10.1134/s0361768809030025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120" w:before="0" w:line="240" w:lineRule="auto"/>
        <w:ind w:left="37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Stonebraker M., Kemnitz G. The POSTGRES Next-generation Database Management System // Communications of the ACM. 1991. Vol. 34, No. 10. P. 78–92. DOI: 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2"/>
            <w:szCs w:val="22"/>
            <w:highlight w:val="white"/>
            <w:u w:val="none"/>
            <w:vertAlign w:val="baseline"/>
            <w:rtl w:val="0"/>
          </w:rPr>
          <w:t xml:space="preserve">10.1145/125223.125262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Информация о финансовой поддержке помещается в виде сноски к названию статьи.</w:t>
      </w:r>
    </w:p>
  </w:footnote>
  <w:footnote w:id="1"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Нумерация сносок начинается заново на каждой странице.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240" w:befor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240" w:before="240" w:lineRule="auto"/>
      <w:ind w:firstLine="0"/>
      <w:jc w:val="left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spacing w:after="60" w:before="240" w:lineRule="auto"/>
      <w:ind w:left="864" w:hanging="864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spacing w:after="60" w:before="240" w:lineRule="auto"/>
      <w:ind w:left="1008" w:hanging="1008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spacing w:after="60" w:before="240" w:lineRule="auto"/>
      <w:ind w:left="1152" w:hanging="1152"/>
    </w:pPr>
    <w:rPr>
      <w:b w:val="1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b w:val="1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spacing w:after="120" w:lineRule="auto"/>
      <w:jc w:val="center"/>
    </w:pPr>
    <w:rPr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yperlink" Target="http://dx.doi.org/10.1134/s0361768809030025" TargetMode="External"/><Relationship Id="rId10" Type="http://schemas.openxmlformats.org/officeDocument/2006/relationships/hyperlink" Target="http://dx.doi.org/10.1145/347090.347151" TargetMode="External"/><Relationship Id="rId12" Type="http://schemas.openxmlformats.org/officeDocument/2006/relationships/hyperlink" Target="http://dx.doi.org/10.1145/125223.125262" TargetMode="External"/><Relationship Id="rId9" Type="http://schemas.openxmlformats.org/officeDocument/2006/relationships/hyperlink" Target="http://research.microsoft.com/pubs/69752/tr-2000-18.pdf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dx.doi.org/10.1109/icde.2010.5447837" TargetMode="External"/><Relationship Id="rId8" Type="http://schemas.openxmlformats.org/officeDocument/2006/relationships/hyperlink" Target="http://dx.doi.org/10.1007/978-1-4612-1220-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